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61B7982" w:rsidR="00FA17E2" w:rsidRDefault="009957B5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</w:rPr>
        <w:t xml:space="preserve"> </w:t>
      </w:r>
    </w:p>
    <w:p w14:paraId="00000002" w14:textId="77777777" w:rsidR="00FA17E2" w:rsidRDefault="00FA17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SansationUN" w:eastAsia="SansationUN" w:hAnsi="SansationUN" w:cs="SansationUN"/>
          <w:color w:val="000000"/>
        </w:rPr>
      </w:pPr>
    </w:p>
    <w:p w14:paraId="00000003" w14:textId="3444AFF6" w:rsidR="00FA17E2" w:rsidRDefault="00AD6521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jc w:val="right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Ver.1 dat. 21.8.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202</w:t>
      </w:r>
      <w:r w:rsidR="00DC5D10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04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Příloha č. 1a    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 xml:space="preserve">Přístup k Pasivní </w:t>
      </w:r>
      <w:proofErr w:type="gramStart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infrastruktuře .</w:t>
      </w:r>
      <w:proofErr w:type="gramEnd"/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Technická specifikace a specifikace služby</w:t>
      </w:r>
    </w:p>
    <w:p w14:paraId="00000005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06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</w:rPr>
      </w:pPr>
      <w:bookmarkStart w:id="0" w:name="_heading=h.gjdgxs" w:colFirst="0" w:colLast="0"/>
      <w:bookmarkEnd w:id="0"/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Číslo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Služby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……………………………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Obec (oblast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)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Jméno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partnera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..…..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ID (IČ):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Partnera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         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..….…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Datum žádosti: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Datum zahájení technického šetření: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…………………………….</w:t>
      </w:r>
    </w:p>
    <w:p w14:paraId="00000007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Datum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ukončení  technického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šetření: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…………………………….</w:t>
      </w:r>
    </w:p>
    <w:p w14:paraId="00000008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Datum zahájení implementace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služby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Datum zprovoznění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služby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Datum zahájení testovacího provozu: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Datum zakončení testovacího provozu: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……………………………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Datum předání Služby Partnerovi: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…………………………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Datum ukončení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Služby:   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                                        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09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 </w:t>
      </w:r>
    </w:p>
    <w:p w14:paraId="0000000A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</w:t>
      </w:r>
    </w:p>
    <w:p w14:paraId="0000000B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Služba přístupu a užívání pasivní infrastruktury</w:t>
      </w:r>
    </w:p>
    <w:p w14:paraId="0000000C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0D" w14:textId="45627430" w:rsidR="00FA17E2" w:rsidRDefault="00AD6521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prohlašuje, že je vlastníkem nebo oprávněným uživatelem pasivní infrastruktury tvořících trasy, které si hodlá pronajmout Partner v rámci Smlouvy a jenž jsou specifikovány v této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Příloze .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Projekt  Dotované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sítě předpokládá přístup k pasivní infrastruktuře. Věže a stožáry používané v projektu dotované sítě můžou být pronajaty od třetích stran. V případě umístění vlastní techniky (</w:t>
      </w:r>
      <w:proofErr w:type="spell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anteny</w:t>
      </w:r>
      <w:proofErr w:type="spell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, vysílače, přijímače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) ,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Partner bude muset uzavřít separátní smlouvy s vlastníky o pronájmu prostor.</w:t>
      </w:r>
    </w:p>
    <w:p w14:paraId="0000000E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0F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10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11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12" w14:textId="7E104BEC" w:rsidR="00FA17E2" w:rsidRDefault="00AD6521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lastRenderedPageBreak/>
        <w:t>TC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tímto uděluje Partnerovi výlučné a za podmínek stanovených Smlouvou právo </w:t>
      </w:r>
    </w:p>
    <w:p w14:paraId="1F0EA6A2" w14:textId="77777777" w:rsidR="00F52AAF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užívání k pasivní infrastrukturu specifikované v této příloze</w:t>
      </w:r>
      <w:r w:rsidR="00F52AAF">
        <w:rPr>
          <w:rFonts w:ascii="SansationUN" w:eastAsia="SansationUN" w:hAnsi="SansationUN" w:cs="SansationUN"/>
          <w:color w:val="000000"/>
          <w:sz w:val="22"/>
          <w:szCs w:val="22"/>
        </w:rPr>
        <w:t>.</w:t>
      </w:r>
    </w:p>
    <w:p w14:paraId="00000013" w14:textId="605103E1" w:rsidR="00FA17E2" w:rsidRDefault="00E50C17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 w:rsidR="00F52AAF" w:rsidRPr="00F52AAF">
        <w:rPr>
          <w:rFonts w:ascii="SansationUN" w:eastAsia="SansationUN" w:hAnsi="SansationUN" w:cs="SansationUN"/>
          <w:noProof/>
          <w:color w:val="000000"/>
        </w:rPr>
        <w:drawing>
          <wp:inline distT="0" distB="0" distL="0" distR="0" wp14:anchorId="66967239" wp14:editId="5E343B43">
            <wp:extent cx="5760720" cy="5912485"/>
            <wp:effectExtent l="0" t="0" r="0" b="0"/>
            <wp:docPr id="5777312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7312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1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14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2116BEC" w14:textId="28527D0C" w:rsidR="00F52AAF" w:rsidRDefault="00BC4287" w:rsidP="00F52AAF">
      <w:pPr>
        <w:pStyle w:val="LO-normal"/>
        <w:pBdr>
          <w:top w:val="nil"/>
          <w:left w:val="nil"/>
          <w:bottom w:val="nil"/>
          <w:right w:val="nil"/>
          <w:between w:val="nil"/>
        </w:pBdr>
        <w:rPr>
          <w:rFonts w:ascii="SansationUN" w:eastAsia="SansationUN" w:hAnsi="SansationUN" w:cs="SansationUN"/>
          <w:color w:val="000000"/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Partner </w:t>
      </w:r>
      <w:r w:rsidR="00F52AAF" w:rsidRPr="00F52AAF">
        <w:rPr>
          <w:rFonts w:ascii="SansationUN" w:eastAsia="SansationUN" w:hAnsi="SansationUN" w:cs="SansationUN"/>
          <w:color w:val="000000"/>
          <w:sz w:val="22"/>
          <w:szCs w:val="22"/>
        </w:rPr>
        <w:t xml:space="preserve">(Žadatel o přístup)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se </w:t>
      </w:r>
      <w:r w:rsidR="00F52AAF" w:rsidRPr="00F52AAF">
        <w:rPr>
          <w:rFonts w:ascii="SansationUN" w:eastAsia="SansationUN" w:hAnsi="SansationUN" w:cs="SansationUN"/>
          <w:color w:val="000000"/>
          <w:sz w:val="22"/>
          <w:szCs w:val="22"/>
        </w:rPr>
        <w:t>výslovně zavazuje k provádění měření datových parametrů sítě. Partner je povinen toto měření provádět v souladu s platnou Metodikou měření datových parametrů pevných sítí elektronických komunikací vydanou ČTÚ (v</w:t>
      </w:r>
      <w:r w:rsidR="00F52AAF"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 w:rsidR="00F52AAF" w:rsidRPr="00F52AAF">
        <w:rPr>
          <w:rFonts w:ascii="SansationUN" w:eastAsia="SansationUN" w:hAnsi="SansationUN" w:cs="SansationUN"/>
          <w:color w:val="000000"/>
          <w:sz w:val="22"/>
          <w:szCs w:val="22"/>
        </w:rPr>
        <w:t>3) a zavazuje se poskytnout společnosti TC (poskytovateli velkoobchodního přístupu) i poskytovateli dotace veškerou nezbytnou součinnost spojenou s prokazováním kvality, dostupnosti a rychlosti poskytovaných služeb na dotované infrastruktuře.</w:t>
      </w:r>
    </w:p>
    <w:p w14:paraId="00000016" w14:textId="101B4ACE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ind w:left="136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17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</w:rPr>
        <w:t>Článek II.</w:t>
      </w:r>
      <w:r>
        <w:rPr>
          <w:rFonts w:ascii="SansationUN" w:eastAsia="SansationUN" w:hAnsi="SansationUN" w:cs="SansationUN"/>
          <w:b/>
          <w:color w:val="000000"/>
        </w:rPr>
        <w:br/>
        <w:t>Přístup k pasivní infrastruktuře</w:t>
      </w:r>
    </w:p>
    <w:p w14:paraId="00000018" w14:textId="68B2F68D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Přístup je realizován v bodech k tomu určených (např. </w:t>
      </w:r>
      <w:r w:rsidR="00E333C4">
        <w:rPr>
          <w:rFonts w:ascii="SansationUN" w:eastAsia="SansationUN" w:hAnsi="SansationUN" w:cs="SansationUN"/>
          <w:color w:val="000000"/>
          <w:sz w:val="22"/>
          <w:szCs w:val="22"/>
        </w:rPr>
        <w:t>PODB – Distribučních boxech, či technologické místnosti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) s ohledem na strukturu sítě tak, aby nedocházelo k jejímu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lastRenderedPageBreak/>
        <w:t xml:space="preserve">znehodnocení pro budoucí využití.  Seznam přístupových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bodů  pro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Službu uvedenou v této příloze je uvedený v Článku VIII a Příloze 10- Síťová hierarchie</w:t>
      </w:r>
      <w:r w:rsidR="00E333C4"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19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</w:p>
    <w:p w14:paraId="0000001A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Převzetí Pasivní infrastruktury</w:t>
      </w:r>
    </w:p>
    <w:p w14:paraId="0000001B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</w:p>
    <w:p w14:paraId="0000001C" w14:textId="55AAB5D0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jc w:val="both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Partner se zavazuje, že ve lhůtách stanovených Smlouvou a touto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přílohou  převezme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pasivní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infrastrukturu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a to nejpozději do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5ti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pracovních dní od ukončení úspěšného testovacího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provozu..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Podpisem této přílohy Partner potvrzuje </w:t>
      </w:r>
      <w:r w:rsidR="00AD6521">
        <w:rPr>
          <w:rFonts w:ascii="SansationUN" w:eastAsia="SansationUN" w:hAnsi="SansationUN" w:cs="SansationUN"/>
          <w:color w:val="000000"/>
          <w:sz w:val="22"/>
          <w:szCs w:val="22"/>
        </w:rPr>
        <w:t>TC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že převzal pasivní infrastrukturu v řádném provozuschopném stavu a bez závad. </w:t>
      </w:r>
    </w:p>
    <w:p w14:paraId="0000001D" w14:textId="77777777" w:rsidR="00FA17E2" w:rsidRDefault="00C3233C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4"/>
        </w:tabs>
        <w:spacing w:before="63" w:line="306" w:lineRule="auto"/>
        <w:ind w:left="135" w:right="227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1E" w14:textId="77777777" w:rsidR="00FA17E2" w:rsidRDefault="00C3233C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4"/>
        </w:tabs>
        <w:spacing w:before="63" w:line="306" w:lineRule="auto"/>
        <w:ind w:left="135" w:right="227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IV</w:t>
      </w:r>
    </w:p>
    <w:p w14:paraId="0000001F" w14:textId="77777777" w:rsidR="00FA17E2" w:rsidRDefault="00C3233C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4"/>
        </w:tabs>
        <w:spacing w:before="63" w:line="306" w:lineRule="auto"/>
        <w:ind w:left="135" w:right="227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Užívání Pasivní infrastruktury</w:t>
      </w:r>
    </w:p>
    <w:p w14:paraId="00000020" w14:textId="77777777" w:rsidR="00FA17E2" w:rsidRDefault="00C3233C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4"/>
        </w:tabs>
        <w:spacing w:before="63" w:line="306" w:lineRule="auto"/>
        <w:ind w:left="135" w:right="227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Partner může Pasivní infrastrukturu užívat pouze pro účely související s jeho obchodní činností v souladu s 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uzavřenou  Smlouvou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21" w14:textId="77777777" w:rsidR="00FA17E2" w:rsidRDefault="00C3233C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4"/>
        </w:tabs>
        <w:spacing w:before="63" w:line="306" w:lineRule="auto"/>
        <w:ind w:left="135" w:right="227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Ostatní závazky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22" w14:textId="3EF55023" w:rsidR="00FA17E2" w:rsidRDefault="00AD6521">
      <w:pPr>
        <w:pStyle w:val="LO-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3" w:line="306" w:lineRule="auto"/>
        <w:ind w:right="227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TC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se zavazuje, v případě věží a stožárů zřízených s využitím poskytnuté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dotace  umístit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svá zařízení (přijímače,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vysílače ,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antény a další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infrastrukturu)   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efektivně s ohledem na potřebu poskytnutí možnosti využití další plochy k pronájmu zařízení Partnera a nebude umístění zařízení Partnerem účelově bránit.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23" w14:textId="53DC9DB6" w:rsidR="00FA17E2" w:rsidRDefault="00AD6521">
      <w:pPr>
        <w:pStyle w:val="LO-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63" w:line="306" w:lineRule="auto"/>
        <w:ind w:left="567" w:right="613"/>
        <w:jc w:val="both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TC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se zavazuje </w:t>
      </w:r>
      <w:r w:rsidR="00C3233C">
        <w:rPr>
          <w:rFonts w:ascii="SansationUN" w:eastAsia="SansationUN" w:hAnsi="SansationUN" w:cs="SansationUN"/>
          <w:color w:val="000000"/>
        </w:rPr>
        <w:t>umožnit Partnerovi, pro využití Služby v nezbytném rozsahu rovněž související službu kolokace</w:t>
      </w:r>
      <w:proofErr w:type="gramStart"/>
      <w:r w:rsidR="00C3233C">
        <w:rPr>
          <w:rFonts w:ascii="SansationUN" w:eastAsia="SansationUN" w:hAnsi="SansationUN" w:cs="SansationUN"/>
          <w:color w:val="000000"/>
        </w:rPr>
        <w:t xml:space="preserve">. 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)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. Partner bude zavazuje, </w:t>
      </w:r>
      <w:proofErr w:type="gramStart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>že  uzavře</w:t>
      </w:r>
      <w:proofErr w:type="gram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na vlastní náklad separátní smlouvy s vlastníky o pronájmu prostor.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24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</w:t>
      </w:r>
    </w:p>
    <w:p w14:paraId="00000025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Údržba Pasivní infrastruktury</w:t>
      </w:r>
    </w:p>
    <w:p w14:paraId="00000026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27" w14:textId="251836D7" w:rsidR="00FA17E2" w:rsidRDefault="00AD6521">
      <w:pPr>
        <w:pStyle w:val="LO-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3" w:line="306" w:lineRule="auto"/>
        <w:ind w:left="360" w:right="227"/>
        <w:rPr>
          <w:rFonts w:eastAsia="Times New Roman" w:cs="Times New Roma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TC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bude od předání Pasivní infrastruktury zajišťovat na vlastní náklady údržbu tak, aby Pasivní infrastruktura po celou Dobu užívání byla plně funkční a odpovídala Specifikacím.</w:t>
      </w:r>
    </w:p>
    <w:p w14:paraId="00000028" w14:textId="4EA10CC9" w:rsidR="00FA17E2" w:rsidRDefault="00AD6521">
      <w:pPr>
        <w:pStyle w:val="LO-normal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3" w:line="306" w:lineRule="auto"/>
        <w:ind w:left="360" w:right="227"/>
        <w:rPr>
          <w:rFonts w:eastAsia="Times New Roman" w:cs="Times New Roma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TC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se zavazuje Pasivní infrastrukturu ve stavu umožňujícím jejich nepřetržitý provoz. Servisní zásahy se řídí Smlouvou a Přílohou č. 3 - Pravidla a postupy pro jednotlivé služby</w:t>
      </w:r>
    </w:p>
    <w:p w14:paraId="00000029" w14:textId="77777777" w:rsidR="00FA17E2" w:rsidRDefault="00FA17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63" w:line="306" w:lineRule="auto"/>
        <w:ind w:right="613"/>
        <w:jc w:val="both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7E3212F7" w14:textId="77777777" w:rsidR="00F52AAF" w:rsidRDefault="00F52AAF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47EAEF3" w14:textId="77777777" w:rsidR="00F52AAF" w:rsidRDefault="00F52AAF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0F401CF1" w14:textId="77777777" w:rsidR="00F52AAF" w:rsidRDefault="00F52AAF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B45190F" w14:textId="77777777" w:rsidR="00F52AAF" w:rsidRDefault="00F52AAF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0000002A" w14:textId="29A2F2B0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lastRenderedPageBreak/>
        <w:br/>
        <w:t>Článek VII</w:t>
      </w:r>
    </w:p>
    <w:p w14:paraId="0000002B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Kvalita</w:t>
      </w:r>
    </w:p>
    <w:p w14:paraId="0000002C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0000002D" w14:textId="5669DF0A" w:rsidR="00FA17E2" w:rsidRDefault="00AD6521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</w:rPr>
      </w:pPr>
      <w:proofErr w:type="spellStart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t xml:space="preserve"> je povinen dodržet parametry kvality Pasivní infrastruktury tak, jak je popsáno v Příloze č. 4 – Minimální soubor SLA </w:t>
      </w:r>
      <w:r w:rsidR="00C3233C"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2E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VIII</w:t>
      </w:r>
    </w:p>
    <w:p w14:paraId="0000002F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ind w:left="360"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0" w14:textId="77777777" w:rsidR="00FA17E2" w:rsidRDefault="00C3233C">
      <w:pPr>
        <w:pStyle w:val="LO-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Přesné </w:t>
      </w:r>
      <w:r>
        <w:rPr>
          <w:rFonts w:ascii="SansationUN" w:eastAsia="SansationUN" w:hAnsi="SansationUN" w:cs="SansationUN"/>
          <w:color w:val="000000"/>
        </w:rPr>
        <w:t>umístění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přístupových bodů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GPS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    ……………………………………..................................</w:t>
      </w:r>
    </w:p>
    <w:p w14:paraId="00000031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720"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Adresa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………………………………………………………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………………………………………………………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…………………………………………............................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………………………………………………………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………………………………………………………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…….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………………………………………………………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…....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2" w14:textId="77777777" w:rsidR="00FA17E2" w:rsidRDefault="00C3233C">
      <w:pPr>
        <w:pStyle w:val="LO-normal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 w:hanging="360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Technické podmínky přístupu, specifikace zařízení a rozhraní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3" w14:textId="77777777" w:rsidR="00FA17E2" w:rsidRDefault="00C3233C">
      <w:pPr>
        <w:pStyle w:val="LO-normal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 w:hanging="360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Síťová hierarchie přístupu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4" w14:textId="77777777" w:rsidR="00FA17E2" w:rsidRDefault="00C3233C">
      <w:pPr>
        <w:pStyle w:val="LO-normal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 w:hanging="360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Podmínky  společného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umisťování (kolokace)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lastRenderedPageBreak/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5" w14:textId="77777777" w:rsidR="00FA17E2" w:rsidRDefault="00C3233C">
      <w:pPr>
        <w:pStyle w:val="LO-normal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 w:hanging="360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Zakreslená datová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trasa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6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7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8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9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A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B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C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3D" w14:textId="77777777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E" w14:textId="77777777" w:rsidR="00FA17E2" w:rsidRDefault="00C3233C">
      <w:pPr>
        <w:pStyle w:val="LO-normal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 w:hanging="360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Délka trasy v 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m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0000003F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0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1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2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3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4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5" w14:textId="77777777" w:rsidR="00FA17E2" w:rsidRDefault="00FA17E2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0000046" w14:textId="069F0C9E" w:rsidR="00FA17E2" w:rsidRDefault="00C3233C">
      <w:pPr>
        <w:pStyle w:val="LO-normal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right="613"/>
        <w:rPr>
          <w:rFonts w:ascii="SansationUN" w:eastAsia="SansationUN" w:hAnsi="SansationUN" w:cs="SansationUN"/>
          <w:color w:val="000000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Trasu předal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dne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Trasu převzal dne: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za </w:t>
      </w:r>
      <w:proofErr w:type="spellStart"/>
      <w:r w:rsidR="00AD6521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proofErr w:type="spellEnd"/>
      <w:r>
        <w:rPr>
          <w:rFonts w:ascii="SansationUN" w:eastAsia="SansationUN" w:hAnsi="SansationUN" w:cs="SansationUN"/>
          <w:color w:val="000000"/>
          <w:sz w:val="22"/>
          <w:szCs w:val="22"/>
        </w:rPr>
        <w:t>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za </w:t>
      </w:r>
      <w:proofErr w:type="gramStart"/>
      <w:r>
        <w:rPr>
          <w:rFonts w:ascii="SansationUN" w:eastAsia="SansationUN" w:hAnsi="SansationUN" w:cs="SansationUN"/>
          <w:color w:val="000000"/>
          <w:sz w:val="22"/>
          <w:szCs w:val="22"/>
        </w:rPr>
        <w:t>Partnera :</w:t>
      </w:r>
      <w:proofErr w:type="gramEnd"/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sectPr w:rsidR="00FA17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765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CFB0" w14:textId="77777777" w:rsidR="00EF23CB" w:rsidRDefault="00EF23CB">
      <w:r>
        <w:separator/>
      </w:r>
    </w:p>
  </w:endnote>
  <w:endnote w:type="continuationSeparator" w:id="0">
    <w:p w14:paraId="3A19A5F9" w14:textId="77777777" w:rsidR="00EF23CB" w:rsidRDefault="00EF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ationUN">
    <w:altName w:val="Times New Roman"/>
    <w:charset w:val="0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D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4E" w14:textId="77777777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rPr>
        <w:rFonts w:eastAsia="Times New Roman" w:cs="Times New Roman"/>
        <w:color w:val="000000"/>
      </w:rPr>
      <w:fldChar w:fldCharType="begin"/>
    </w:r>
    <w:r>
      <w:rPr>
        <w:rFonts w:eastAsia="Times New Roman" w:cs="Times New Roman"/>
        <w:color w:val="000000"/>
      </w:rPr>
      <w:instrText>PAGE</w:instrText>
    </w:r>
    <w:r>
      <w:rPr>
        <w:rFonts w:eastAsia="Times New Roman" w:cs="Times New Roman"/>
        <w:color w:val="000000"/>
      </w:rPr>
      <w:fldChar w:fldCharType="end"/>
    </w:r>
  </w:p>
  <w:p w14:paraId="0000004F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50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5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56" w14:textId="46D789B5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rPr>
        <w:rFonts w:eastAsia="Times New Roman" w:cs="Times New Roman"/>
        <w:color w:val="000000"/>
      </w:rPr>
      <w:fldChar w:fldCharType="begin"/>
    </w:r>
    <w:r>
      <w:rPr>
        <w:rFonts w:eastAsia="Times New Roman" w:cs="Times New Roman"/>
        <w:color w:val="000000"/>
      </w:rPr>
      <w:instrText>PAGE</w:instrText>
    </w:r>
    <w:r>
      <w:rPr>
        <w:rFonts w:eastAsia="Times New Roman" w:cs="Times New Roman"/>
        <w:color w:val="000000"/>
      </w:rPr>
      <w:fldChar w:fldCharType="separate"/>
    </w:r>
    <w:r w:rsidR="00AD6521">
      <w:rPr>
        <w:rFonts w:eastAsia="Times New Roman" w:cs="Times New Roman"/>
        <w:noProof/>
        <w:color w:val="000000"/>
      </w:rPr>
      <w:t>1</w:t>
    </w:r>
    <w:r>
      <w:rPr>
        <w:rFonts w:eastAsia="Times New Roman" w:cs="Times New Roman"/>
        <w:color w:val="000000"/>
      </w:rPr>
      <w:fldChar w:fldCharType="end"/>
    </w:r>
  </w:p>
  <w:p w14:paraId="00000057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58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1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52" w14:textId="77777777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rPr>
        <w:rFonts w:eastAsia="Times New Roman" w:cs="Times New Roman"/>
        <w:color w:val="000000"/>
      </w:rPr>
      <w:fldChar w:fldCharType="begin"/>
    </w:r>
    <w:r>
      <w:rPr>
        <w:rFonts w:eastAsia="Times New Roman" w:cs="Times New Roman"/>
        <w:color w:val="000000"/>
      </w:rPr>
      <w:instrText>PAGE</w:instrText>
    </w:r>
    <w:r>
      <w:rPr>
        <w:rFonts w:eastAsia="Times New Roman" w:cs="Times New Roman"/>
        <w:color w:val="000000"/>
      </w:rPr>
      <w:fldChar w:fldCharType="end"/>
    </w:r>
  </w:p>
  <w:p w14:paraId="00000053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0000054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1CC0" w14:textId="77777777" w:rsidR="00EF23CB" w:rsidRDefault="00EF23CB">
      <w:r>
        <w:separator/>
      </w:r>
    </w:p>
  </w:footnote>
  <w:footnote w:type="continuationSeparator" w:id="0">
    <w:p w14:paraId="79CC1BCC" w14:textId="77777777" w:rsidR="00EF23CB" w:rsidRDefault="00EF2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9" w14:textId="77777777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left" w:pos="284"/>
      </w:tabs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rPr>
        <w:rFonts w:ascii="Bookman Old Style" w:eastAsia="Bookman Old Style" w:hAnsi="Bookman Old Style" w:cs="Bookman Old Style"/>
        <w:color w:val="000000"/>
        <w:sz w:val="16"/>
        <w:szCs w:val="16"/>
      </w:rPr>
      <w:t xml:space="preserve">Příloha č. 1a – Přístup k Pasivní </w:t>
    </w:r>
    <w:proofErr w:type="gramStart"/>
    <w:r>
      <w:rPr>
        <w:rFonts w:ascii="Bookman Old Style" w:eastAsia="Bookman Old Style" w:hAnsi="Bookman Old Style" w:cs="Bookman Old Style"/>
        <w:color w:val="000000"/>
        <w:sz w:val="16"/>
        <w:szCs w:val="16"/>
      </w:rPr>
      <w:t>infrastruktuře .</w:t>
    </w:r>
    <w:proofErr w:type="gramEnd"/>
    <w:r>
      <w:rPr>
        <w:rFonts w:ascii="Bookman Old Style" w:eastAsia="Bookman Old Style" w:hAnsi="Bookman Old Style" w:cs="Bookman Old Style"/>
        <w:color w:val="000000"/>
        <w:sz w:val="16"/>
        <w:szCs w:val="16"/>
      </w:rPr>
      <w:t xml:space="preserve"> Technická specifikace a specifikace služby</w:t>
    </w:r>
  </w:p>
  <w:p w14:paraId="0000004A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7" w14:textId="77777777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left" w:pos="284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  <w:sz w:val="16"/>
        <w:szCs w:val="16"/>
      </w:rPr>
      <w:t xml:space="preserve">Příloha č. 1a – Přístup k Pasivní </w:t>
    </w:r>
    <w:proofErr w:type="gramStart"/>
    <w:r>
      <w:rPr>
        <w:rFonts w:ascii="SansationUN" w:eastAsia="SansationUN" w:hAnsi="SansationUN" w:cs="SansationUN"/>
        <w:color w:val="000000"/>
        <w:sz w:val="16"/>
        <w:szCs w:val="16"/>
      </w:rPr>
      <w:t>infrastruktuře .</w:t>
    </w:r>
    <w:proofErr w:type="gramEnd"/>
    <w:r>
      <w:rPr>
        <w:rFonts w:ascii="SansationUN" w:eastAsia="SansationUN" w:hAnsi="SansationUN" w:cs="SansationUN"/>
        <w:color w:val="000000"/>
        <w:sz w:val="16"/>
        <w:szCs w:val="16"/>
      </w:rPr>
      <w:t xml:space="preserve"> Technická specifikace a specifikace služby</w:t>
    </w:r>
  </w:p>
  <w:p w14:paraId="00000048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B" w14:textId="77777777" w:rsidR="00FA17E2" w:rsidRDefault="00C3233C">
    <w:pPr>
      <w:pStyle w:val="LO-normal"/>
      <w:pBdr>
        <w:top w:val="nil"/>
        <w:left w:val="nil"/>
        <w:bottom w:val="nil"/>
        <w:right w:val="nil"/>
        <w:between w:val="nil"/>
      </w:pBdr>
      <w:tabs>
        <w:tab w:val="left" w:pos="284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  <w:sz w:val="16"/>
        <w:szCs w:val="16"/>
      </w:rPr>
      <w:t xml:space="preserve">Příloha č. 1a – Přístup k Pasivní </w:t>
    </w:r>
    <w:proofErr w:type="gramStart"/>
    <w:r>
      <w:rPr>
        <w:rFonts w:ascii="SansationUN" w:eastAsia="SansationUN" w:hAnsi="SansationUN" w:cs="SansationUN"/>
        <w:color w:val="000000"/>
        <w:sz w:val="16"/>
        <w:szCs w:val="16"/>
      </w:rPr>
      <w:t>infrastruktuře .</w:t>
    </w:r>
    <w:proofErr w:type="gramEnd"/>
    <w:r>
      <w:rPr>
        <w:rFonts w:ascii="SansationUN" w:eastAsia="SansationUN" w:hAnsi="SansationUN" w:cs="SansationUN"/>
        <w:color w:val="000000"/>
        <w:sz w:val="16"/>
        <w:szCs w:val="16"/>
      </w:rPr>
      <w:t xml:space="preserve"> Technická specifikace a specifikace služby</w:t>
    </w:r>
  </w:p>
  <w:p w14:paraId="0000004C" w14:textId="77777777" w:rsidR="00FA17E2" w:rsidRDefault="00FA17E2">
    <w:pPr>
      <w:pStyle w:val="LO-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B67"/>
    <w:multiLevelType w:val="multilevel"/>
    <w:tmpl w:val="E0780E1A"/>
    <w:lvl w:ilvl="0">
      <w:start w:val="2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2084" w:hanging="36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decimal"/>
      <w:lvlText w:val="%5."/>
      <w:lvlJc w:val="left"/>
      <w:pPr>
        <w:ind w:left="3524" w:hanging="360"/>
      </w:pPr>
    </w:lvl>
    <w:lvl w:ilvl="5">
      <w:start w:val="1"/>
      <w:numFmt w:val="decimal"/>
      <w:lvlText w:val="%6."/>
      <w:lvlJc w:val="left"/>
      <w:pPr>
        <w:ind w:left="4244" w:hanging="36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decimal"/>
      <w:lvlText w:val="%8."/>
      <w:lvlJc w:val="left"/>
      <w:pPr>
        <w:ind w:left="5684" w:hanging="360"/>
      </w:pPr>
    </w:lvl>
    <w:lvl w:ilvl="8">
      <w:start w:val="1"/>
      <w:numFmt w:val="decimal"/>
      <w:lvlText w:val="%9."/>
      <w:lvlJc w:val="left"/>
      <w:pPr>
        <w:ind w:left="6404" w:hanging="360"/>
      </w:pPr>
    </w:lvl>
  </w:abstractNum>
  <w:abstractNum w:abstractNumId="1" w15:restartNumberingAfterBreak="0">
    <w:nsid w:val="3ABC7C2A"/>
    <w:multiLevelType w:val="multilevel"/>
    <w:tmpl w:val="67A480F0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2" w15:restartNumberingAfterBreak="0">
    <w:nsid w:val="44E1214A"/>
    <w:multiLevelType w:val="multilevel"/>
    <w:tmpl w:val="764A8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2E7B04"/>
    <w:multiLevelType w:val="multilevel"/>
    <w:tmpl w:val="4A0400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EB4D4F"/>
    <w:multiLevelType w:val="multilevel"/>
    <w:tmpl w:val="321CB29A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7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5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num w:numId="1" w16cid:durableId="1685281433">
    <w:abstractNumId w:val="2"/>
  </w:num>
  <w:num w:numId="2" w16cid:durableId="1190877458">
    <w:abstractNumId w:val="3"/>
  </w:num>
  <w:num w:numId="3" w16cid:durableId="72629842">
    <w:abstractNumId w:val="4"/>
  </w:num>
  <w:num w:numId="4" w16cid:durableId="664818606">
    <w:abstractNumId w:val="1"/>
  </w:num>
  <w:num w:numId="5" w16cid:durableId="1663243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7E2"/>
    <w:rsid w:val="00104E75"/>
    <w:rsid w:val="003747DD"/>
    <w:rsid w:val="005A7F24"/>
    <w:rsid w:val="007C1FAB"/>
    <w:rsid w:val="009957B5"/>
    <w:rsid w:val="00AD6521"/>
    <w:rsid w:val="00B84AE5"/>
    <w:rsid w:val="00BC4287"/>
    <w:rsid w:val="00C3233C"/>
    <w:rsid w:val="00DC5D10"/>
    <w:rsid w:val="00E333C4"/>
    <w:rsid w:val="00E50C17"/>
    <w:rsid w:val="00EF23CB"/>
    <w:rsid w:val="00F52AAF"/>
    <w:rsid w:val="00FA17E2"/>
    <w:rsid w:val="00FD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157A"/>
  <w15:docId w15:val="{43322207-BF12-4629-A1CF-A09D8AAE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7D92"/>
    <w:pPr>
      <w:suppressAutoHyphens/>
    </w:pPr>
    <w:rPr>
      <w:rFonts w:eastAsia="NSimSun"/>
      <w:lang w:bidi="hi-IN"/>
    </w:rPr>
  </w:style>
  <w:style w:type="paragraph" w:styleId="Nadpis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D4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"/>
    <w:link w:val="Nadpis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ovodkaz">
    <w:name w:val="Internetový odkaz"/>
    <w:basedOn w:val="Standardnpsmoodstavce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Standardnpsmoodstavce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Standardnpsmoodstavce"/>
    <w:qFormat/>
    <w:rsid w:val="009016E3"/>
  </w:style>
  <w:style w:type="character" w:customStyle="1" w:styleId="CETINTextlnkuChar">
    <w:name w:val="CETIN Text článku Char"/>
    <w:basedOn w:val="Standardnpsmoodstavce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04A5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Standardnpsmoodstavce"/>
    <w:qFormat/>
    <w:rsid w:val="001810B5"/>
  </w:style>
  <w:style w:type="character" w:customStyle="1" w:styleId="ZhlavChar">
    <w:name w:val="Záhlaví Char"/>
    <w:basedOn w:val="Standardnpsmoodstavce"/>
    <w:link w:val="Zhlav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dpis9Char">
    <w:name w:val="Nadpis 9 Char"/>
    <w:basedOn w:val="Standardnpsmoodstavce"/>
    <w:link w:val="Nadpis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CD42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link w:val="Zkladn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customStyle="1" w:styleId="LO-normal">
    <w:name w:val="LO-normal"/>
    <w:qFormat/>
    <w:pPr>
      <w:suppressAutoHyphens/>
    </w:pPr>
    <w:rPr>
      <w:rFonts w:eastAsia="NSimSun" w:cs="Arial"/>
      <w:lang w:eastAsia="zh-CN" w:bidi="hi-IN"/>
    </w:rPr>
  </w:style>
  <w:style w:type="paragraph" w:styleId="Normlnweb">
    <w:name w:val="Normal (Web)"/>
    <w:basedOn w:val="Normln"/>
    <w:uiPriority w:val="99"/>
    <w:unhideWhenUsed/>
    <w:qFormat/>
    <w:rsid w:val="009016E3"/>
    <w:pPr>
      <w:spacing w:beforeAutospacing="1" w:afterAutospacing="1"/>
    </w:pPr>
  </w:style>
  <w:style w:type="paragraph" w:styleId="Odstavecseseznamem">
    <w:name w:val="List Paragraph"/>
    <w:basedOn w:val="Normln"/>
    <w:link w:val="Odstavecseseznamem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ln"/>
    <w:link w:val="CETINTextlnkuChar"/>
    <w:qFormat/>
    <w:rsid w:val="00072472"/>
    <w:p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Obsah1"/>
    <w:link w:val="CETINNadpisChar"/>
    <w:qFormat/>
    <w:rsid w:val="00072472"/>
    <w:pPr>
      <w:keepNext/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Obsah1">
    <w:name w:val="toc 1"/>
    <w:basedOn w:val="Normln"/>
    <w:next w:val="Normln"/>
    <w:autoRedefine/>
    <w:uiPriority w:val="39"/>
    <w:semiHidden/>
    <w:unhideWhenUsed/>
    <w:rsid w:val="00072472"/>
    <w:pPr>
      <w:spacing w:after="100"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504A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04A5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ln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Mkatabulky">
    <w:name w:val="Table Grid"/>
    <w:basedOn w:val="Normlntabulka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we23xgwOpIy+hGcskSD4OFelZQ==">AMUW2mXWzBkqwr6xFMLKU4i7vZCtTA0Z0v7uht2TkyO6/8Rjpheqz6QceYJLRr91kDz4kCBEONJDWjzCK3n9gOEBx1/Fp7V12BNi6oINR5WfvqDnYfJl2QoBdiiy1MJ8hwT/Y3M3Imr4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677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Štěpán Kirman</dc:creator>
  <cp:lastModifiedBy>Štěpán Kirman</cp:lastModifiedBy>
  <cp:revision>5</cp:revision>
  <dcterms:created xsi:type="dcterms:W3CDTF">2026-03-16T10:34:00Z</dcterms:created>
  <dcterms:modified xsi:type="dcterms:W3CDTF">2026-01-19T17:29:00Z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